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8uu5tk4qlpue" w:id="0"/>
    <w:bookmarkEnd w:id="0"/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SOP: Call Tracking &amp; Conversion Setup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Oct 14, 2026 · @SLK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SOP covers setting up call tracking and conversion tracking when launching a new location / landing page: buying phone numbers (CTM &amp; Workiz), configuring CTM tracking sources and target numbers, Workiz call flows and ad groups, GTM tags, the landing page request, and Google Ads conversion actions.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Tools used: CTM (CallTrackingMetrics), Workiz, Google Tag Manager, Google Ads, AdsPower.</w:t>
      </w:r>
      <w:r w:rsidDel="00000000" w:rsidR="00000000" w:rsidRPr="00000000">
        <w:rPr>
          <w:rtl w:val="0"/>
        </w:rPr>
      </w:r>
    </w:p>
    <w:bookmarkStart w:colFirst="0" w:colLast="0" w:name="bookmark=id.fac654qbxbl" w:id="1"/>
    <w:bookmarkEnd w:id="1"/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1. [Phone Numbers]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each new location you need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 phone numbers in total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2 in CTM and 1 in Workiz.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All the numbers must be with a proper area code in accordance with a state or a county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Buy 2 numbers in CTM: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1 — Landing: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this is the number that will be displayed on the landing page. It must be an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onsite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number.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2 — Extension (ext):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must be an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offsite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number.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Get 1 number in Workiz: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before buying, check if there is a free (vacant, NOT USED) number available in Workiz. If there is a free number — use it, no need to buy a new one. If not, buy a new one.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! Landing number = onsite, ext number = offsite. Don’t mix these up — the landing number is the one that will later be assigned to the target number and placed on the landing page.</w:t>
      </w:r>
    </w:p>
    <w:bookmarkStart w:colFirst="0" w:colLast="0" w:name="bookmark=id.c8jaaookf5y" w:id="2"/>
    <w:bookmarkEnd w:id="2"/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2. [CTM Setup]</w:t>
      </w:r>
    </w:p>
    <w:bookmarkStart w:colFirst="0" w:colLast="0" w:name="bookmark=id.4gwmkdt6sruj" w:id="3"/>
    <w:bookmarkEnd w:id="3"/>
    <w:p w:rsidR="00000000" w:rsidDel="00000000" w:rsidP="00000000" w:rsidRDefault="00000000" w:rsidRPr="00000000" w14:paraId="0000000E">
      <w:pPr>
        <w:pStyle w:val="Heading3"/>
        <w:rPr/>
      </w:pPr>
      <w:r w:rsidDel="00000000" w:rsidR="00000000" w:rsidRPr="00000000">
        <w:rPr>
          <w:rtl w:val="0"/>
        </w:rPr>
        <w:t xml:space="preserve">Tracking Sources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tracking source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with a proper name. No need to configure anything inside it — just the name.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up a redirect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from the tracking source to the number on Workiz.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the same for the extension number: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create a tracking source with a proper name and redirect it to the Workiz number.</w:t>
      </w:r>
    </w:p>
    <w:bookmarkStart w:colFirst="0" w:colLast="0" w:name="bookmark=id.k2z11a33uec6" w:id="4"/>
    <w:bookmarkEnd w:id="4"/>
    <w:p w:rsidR="00000000" w:rsidDel="00000000" w:rsidP="00000000" w:rsidRDefault="00000000" w:rsidRPr="00000000" w14:paraId="00000012">
      <w:pPr>
        <w:pStyle w:val="Heading3"/>
        <w:rPr/>
      </w:pPr>
      <w:r w:rsidDel="00000000" w:rsidR="00000000" w:rsidRPr="00000000">
        <w:rPr>
          <w:rtl w:val="0"/>
        </w:rPr>
        <w:t xml:space="preserve">Target Number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main number for the landing page requires creating 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target number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(the extension number does not).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to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Target Numbers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CTM.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new target number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with the phone number you will use on the landing page.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Assign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landing number to it.</w:t>
      </w:r>
    </w:p>
    <w:bookmarkStart w:colFirst="0" w:colLast="0" w:name="bookmark=id.j67zohrctpc0" w:id="5"/>
    <w:bookmarkEnd w:id="5"/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3. [Workiz Setup]</w:t>
      </w:r>
    </w:p>
    <w:bookmarkStart w:colFirst="0" w:colLast="0" w:name="bookmark=id.idsusxsfkxk0" w:id="6"/>
    <w:bookmarkEnd w:id="6"/>
    <w:p w:rsidR="00000000" w:rsidDel="00000000" w:rsidP="00000000" w:rsidRDefault="00000000" w:rsidRPr="00000000" w14:paraId="00000018">
      <w:pPr>
        <w:pStyle w:val="Heading3"/>
        <w:rPr/>
      </w:pPr>
      <w:r w:rsidDel="00000000" w:rsidR="00000000" w:rsidRPr="00000000">
        <w:rPr>
          <w:rtl w:val="0"/>
        </w:rPr>
        <w:t xml:space="preserve">Call Flow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to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Settings → Call Flows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Workiz.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Copy the existing call flow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 this area — no need to build it from scratch.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Assign the new Workiz number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the copied flow.</w:t>
      </w:r>
    </w:p>
    <w:bookmarkStart w:colFirst="0" w:colLast="0" w:name="bookmark=id.suywn8eit0o0" w:id="7"/>
    <w:bookmarkEnd w:id="7"/>
    <w:p w:rsidR="00000000" w:rsidDel="00000000" w:rsidP="00000000" w:rsidRDefault="00000000" w:rsidRPr="00000000" w14:paraId="0000001C">
      <w:pPr>
        <w:pStyle w:val="Heading3"/>
        <w:rPr/>
      </w:pPr>
      <w:r w:rsidDel="00000000" w:rsidR="00000000" w:rsidRPr="00000000">
        <w:rPr>
          <w:rtl w:val="0"/>
        </w:rPr>
        <w:t xml:space="preserve">Ad Group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to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Settings → Ad Groups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new ad group with a proper name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follow the standard name conventions (Company name / State / City / Source).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Assign the ad group to the number.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! The ad group is what makes the job source visible in the job details, so the name must clearly identify the location and source.</w:t>
      </w:r>
    </w:p>
    <w:bookmarkStart w:colFirst="0" w:colLast="0" w:name="bookmark=id.u3af53eup8rz" w:id="8"/>
    <w:bookmarkEnd w:id="8"/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4. [GTM &amp; Google Tag]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new container in GTM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only if it’s a new domain. If the domain already has a container, use the existing one.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Get the Google Tag ID: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go to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Google Ads → Data Manager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copy the Google Tag ID.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the needed tags and a Conversion Linker in GTM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just copy them from an existing container, but replace with the proper (new) tag ID.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! Don’t build tags from scratch — copying from an existing setup and swapping the ID keeps the configuration consistent across accounts.</w:t>
      </w:r>
    </w:p>
    <w:bookmarkStart w:colFirst="0" w:colLast="0" w:name="bookmark=id.76qeub1wajw1" w:id="9"/>
    <w:bookmarkEnd w:id="9"/>
    <w:p w:rsidR="00000000" w:rsidDel="00000000" w:rsidP="00000000" w:rsidRDefault="00000000" w:rsidRPr="00000000" w14:paraId="00000026">
      <w:pPr>
        <w:pStyle w:val="Heading2"/>
        <w:rPr/>
      </w:pPr>
      <w:r w:rsidDel="00000000" w:rsidR="00000000" w:rsidRPr="00000000">
        <w:rPr>
          <w:rtl w:val="0"/>
        </w:rPr>
        <w:t xml:space="preserve">5. [Landing Page]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Send to Bodya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with a request to create a new landing page: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CTM script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GTM script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CTM number for the landing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Come up with a free URL.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Usually it’s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“call-now”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if it’s a new domain and we don’t have any landings on it yet.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Copy the structure of an existing landing page: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it’s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another company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— copy the structure but change 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text, logo, and pictures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it’s the same vertical (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example: locksmith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— just copy everything but change 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in the URL and in the text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! The landing page can’t go live without the CTM script, GTM script, and the CTM landing number — make sure all three are included in the request to Bodya.</w:t>
      </w:r>
    </w:p>
    <w:bookmarkStart w:colFirst="0" w:colLast="0" w:name="bookmark=id.irqhfzw57o4n" w:id="10"/>
    <w:bookmarkEnd w:id="10"/>
    <w:p w:rsidR="00000000" w:rsidDel="00000000" w:rsidP="00000000" w:rsidRDefault="00000000" w:rsidRPr="00000000" w14:paraId="00000030">
      <w:pPr>
        <w:pStyle w:val="Heading2"/>
        <w:rPr/>
      </w:pPr>
      <w:r w:rsidDel="00000000" w:rsidR="00000000" w:rsidRPr="00000000">
        <w:rPr>
          <w:rtl w:val="0"/>
        </w:rPr>
        <w:t xml:space="preserve">6. [Connecting Google Ads to CTM]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to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AdsPower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open the profile where you have the new Google Ads account.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 in to CTM from that profile.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Connect Google Ads to CTM.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an “Online Call Tracking Conversion”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CTM — just copy everything from an existing one, but use: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CTM number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Google Ads account’s ID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! Always work from the AdsPower profile that holds the new account — never connect the accounts from your regular browser.</w:t>
      </w:r>
    </w:p>
    <w:bookmarkStart w:colFirst="0" w:colLast="0" w:name="bookmark=id.m72y6oeloo5b" w:id="11"/>
    <w:bookmarkEnd w:id="11"/>
    <w:p w:rsidR="00000000" w:rsidDel="00000000" w:rsidP="00000000" w:rsidRDefault="00000000" w:rsidRPr="00000000" w14:paraId="00000038">
      <w:pPr>
        <w:pStyle w:val="Heading2"/>
        <w:rPr/>
      </w:pPr>
      <w:r w:rsidDel="00000000" w:rsidR="00000000" w:rsidRPr="00000000">
        <w:rPr>
          <w:rtl w:val="0"/>
        </w:rPr>
        <w:t xml:space="preserve">7. [Calls from Ads Conversion — Google Ads]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After the conversion tracking is set up in CTM, it will appear in Google Ads.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Google Ads, go to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Summary → Settings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the created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 Call Tracking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conversion.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Copy the settings from another account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(an existing, working one).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“Calls from ads” conversion action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Google Ads.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it up with the settings from the other account.</w:t>
      </w:r>
      <w:r w:rsidDel="00000000" w:rsidR="00000000" w:rsidRPr="00000000">
        <w:rPr>
          <w:rtl w:val="0"/>
        </w:rPr>
      </w:r>
    </w:p>
    <w:bookmarkStart w:colFirst="0" w:colLast="0" w:name="bookmark=id.lngup1rje2q5" w:id="12"/>
    <w:bookmarkEnd w:id="12"/>
    <w:p w:rsidR="00000000" w:rsidDel="00000000" w:rsidP="00000000" w:rsidRDefault="00000000" w:rsidRPr="00000000" w14:paraId="0000003E">
      <w:pPr>
        <w:pStyle w:val="Heading2"/>
        <w:rPr/>
      </w:pPr>
      <w:r w:rsidDel="00000000" w:rsidR="00000000" w:rsidRPr="00000000">
        <w:rPr>
          <w:rtl w:val="0"/>
        </w:rPr>
        <w:t xml:space="preserve">8. [Custom Conversion Action]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Google Ads,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custom conversion action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(custom goal).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Include both conversion actions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it: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 Call Tracking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(from CTM);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Calls from Ads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480" w:right="48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! This is the final step — once the custom conversion action is created with both actions included, the conversion tracking setup for the new location is complete.</w:t>
      </w:r>
    </w:p>
    <w:bookmarkStart w:colFirst="0" w:colLast="0" w:name="bookmark=id.rxdszaq177il" w:id="13"/>
    <w:bookmarkEnd w:id="13"/>
    <w:p w:rsidR="00000000" w:rsidDel="00000000" w:rsidP="00000000" w:rsidRDefault="00000000" w:rsidRPr="00000000" w14:paraId="00000044">
      <w:pPr>
        <w:pStyle w:val="Heading2"/>
        <w:rPr/>
      </w:pPr>
      <w:r w:rsidDel="00000000" w:rsidR="00000000" w:rsidRPr="00000000">
        <w:rPr>
          <w:rtl w:val="0"/>
        </w:rPr>
        <w:t xml:space="preserve">Setup Checklist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2 CTM numbers bought (landing = onsite, ext = offsite)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1 Workiz number (free one reused, or bought)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CTM tracking sources created + redirects to Workiz number (main + ext)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CTM target number created and landing number assigned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Workiz call flow copied for the area + new number assigned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Workiz ad group created with proper name + assigned to the number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GTM container created (if new domain), tags + Conversion Linker copied with proper tag ID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CTM script, GTM script and CTM landing number sent to Bodya; URL chosen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Google Ads connected to CTM via AdsPower; Online Call Tracking conversion created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Calls from Ads conversion action created with copied settings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Custom conversion action created including both actions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gi11cuqrcp6k" w:id="14"/>
    <w:bookmarkEnd w:id="14"/>
    <w:p w:rsidR="00000000" w:rsidDel="00000000" w:rsidP="00000000" w:rsidRDefault="00000000" w:rsidRPr="00000000" w14:paraId="00000051">
      <w:pPr>
        <w:pStyle w:val="Heading1"/>
        <w:rPr/>
      </w:pPr>
      <w:r w:rsidDel="00000000" w:rsidR="00000000" w:rsidRPr="00000000">
        <w:rPr>
          <w:rtl w:val="0"/>
        </w:rPr>
        <w:t xml:space="preserve">Google Ads Routine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Recurring account maintenance checks: daily at campaign level, weekly on the search term report, monthly at ads / ad group / keyword level.</w:t>
      </w:r>
    </w:p>
    <w:bookmarkStart w:colFirst="0" w:colLast="0" w:name="bookmark=id.i9kfqq1gb7ss" w:id="15"/>
    <w:bookmarkEnd w:id="15"/>
    <w:p w:rsidR="00000000" w:rsidDel="00000000" w:rsidP="00000000" w:rsidRDefault="00000000" w:rsidRPr="00000000" w14:paraId="00000053">
      <w:pPr>
        <w:pStyle w:val="Heading2"/>
        <w:rPr/>
      </w:pPr>
      <w:r w:rsidDel="00000000" w:rsidR="00000000" w:rsidRPr="00000000">
        <w:rPr>
          <w:rtl w:val="0"/>
        </w:rPr>
        <w:t xml:space="preserve">DAILY • Campaign Level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Check any unusual numbers (yesterday, last 7 days): avg. Cost/conv., Cost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Check general errors on the account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Check if there are policy violations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Check general budget on the account — if we overspend / underspend (!)</w:t>
      </w:r>
    </w:p>
    <w:bookmarkStart w:colFirst="0" w:colLast="0" w:name="bookmark=id.b96stpgpi5eb" w:id="16"/>
    <w:bookmarkEnd w:id="16"/>
    <w:p w:rsidR="00000000" w:rsidDel="00000000" w:rsidP="00000000" w:rsidRDefault="00000000" w:rsidRPr="00000000" w14:paraId="00000058">
      <w:pPr>
        <w:pStyle w:val="Heading2"/>
        <w:rPr/>
      </w:pPr>
      <w:r w:rsidDel="00000000" w:rsidR="00000000" w:rsidRPr="00000000">
        <w:rPr>
          <w:rtl w:val="0"/>
        </w:rPr>
        <w:t xml:space="preserve">DAILY • Email &amp; Notifications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Check email &amp; notifications on the account</w:t>
      </w:r>
    </w:p>
    <w:bookmarkStart w:colFirst="0" w:colLast="0" w:name="bookmark=id.yoor1ewxdokr" w:id="17"/>
    <w:bookmarkEnd w:id="17"/>
    <w:p w:rsidR="00000000" w:rsidDel="00000000" w:rsidP="00000000" w:rsidRDefault="00000000" w:rsidRPr="00000000" w14:paraId="0000005A">
      <w:pPr>
        <w:pStyle w:val="Heading2"/>
        <w:rPr/>
      </w:pPr>
      <w:r w:rsidDel="00000000" w:rsidR="00000000" w:rsidRPr="00000000">
        <w:rPr>
          <w:rtl w:val="0"/>
        </w:rPr>
        <w:t xml:space="preserve">WEEKLY • Search Term Report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last 7 days by impressions and check the relevancy of the search terms; add any irrelevant to the NKWL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last 7 days by Cost/conv. — if there are any that are significantly more expensive (3x), add to NKWL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last 7 days by Cost to find expensive keywords that generate 0 conversions → pause them; and to find those that are cheap and generate a lot of conversions → add to the keywords</w:t>
      </w:r>
    </w:p>
    <w:bookmarkStart w:colFirst="0" w:colLast="0" w:name="bookmark=id.it06m31x707s" w:id="18"/>
    <w:bookmarkEnd w:id="18"/>
    <w:p w:rsidR="00000000" w:rsidDel="00000000" w:rsidP="00000000" w:rsidRDefault="00000000" w:rsidRPr="00000000" w14:paraId="0000005E">
      <w:pPr>
        <w:pStyle w:val="Heading2"/>
        <w:rPr/>
      </w:pPr>
      <w:r w:rsidDel="00000000" w:rsidR="00000000" w:rsidRPr="00000000">
        <w:rPr>
          <w:rtl w:val="0"/>
        </w:rPr>
        <w:t xml:space="preserve">MONTHLY • Ads Level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last 90 days. If 1 ad — duplicate and change a bit; if more than 1 — turn off a worse one and duplicate from a good one (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campaigns with same service per week on one account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last 30 days by Cost/conv. to find the worst ads and turn them off</w:t>
      </w:r>
    </w:p>
    <w:bookmarkStart w:colFirst="0" w:colLast="0" w:name="bookmark=id.8367bxlf9xzt" w:id="19"/>
    <w:bookmarkEnd w:id="19"/>
    <w:p w:rsidR="00000000" w:rsidDel="00000000" w:rsidP="00000000" w:rsidRDefault="00000000" w:rsidRPr="00000000" w14:paraId="00000061">
      <w:pPr>
        <w:pStyle w:val="Heading2"/>
        <w:rPr/>
      </w:pPr>
      <w:r w:rsidDel="00000000" w:rsidR="00000000" w:rsidRPr="00000000">
        <w:rPr>
          <w:rtl w:val="0"/>
        </w:rPr>
        <w:t xml:space="preserve">MONTHLY • Ad Group Level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by Cost/conv. for the last 30 days — turn off ad groups that are significantly higher (3x)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by Cost to see if there are any ad groups that are very expensive but generate 0 conversions</w:t>
      </w:r>
    </w:p>
    <w:bookmarkStart w:colFirst="0" w:colLast="0" w:name="bookmark=id.afc83kw0944v" w:id="20"/>
    <w:bookmarkEnd w:id="20"/>
    <w:p w:rsidR="00000000" w:rsidDel="00000000" w:rsidP="00000000" w:rsidRDefault="00000000" w:rsidRPr="00000000" w14:paraId="00000064">
      <w:pPr>
        <w:pStyle w:val="Heading2"/>
        <w:rPr/>
      </w:pPr>
      <w:r w:rsidDel="00000000" w:rsidR="00000000" w:rsidRPr="00000000">
        <w:rPr>
          <w:rtl w:val="0"/>
        </w:rPr>
        <w:t xml:space="preserve">MONTHLY • Keyword Level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by Cost/conv. for the last 30 days — turn off keywords that are significantly higher (3x)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by Cost to see if there are any keywords that are very expensive but generate 0 conversions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4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☐ Sort last 90 days, take a good performing keyword and create other match types (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campaigns with same service per week on one account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sectPr>
      <w:headerReference r:id="rId7" w:type="default"/>
      <w:pgSz w:h="15840" w:w="12240" w:orient="portrait"/>
      <w:pgMar w:bottom="1440" w:top="1080" w:left="1440" w:right="1440" w:header="43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spacing w:after="240" w:lineRule="auto"/>
      <w:jc w:val="center"/>
      <w:rPr/>
    </w:pPr>
    <w:r w:rsidDel="00000000" w:rsidR="00000000" w:rsidRPr="00000000">
      <w:rPr/>
      <w:drawing>
        <wp:inline distB="0" distT="0" distL="0" distR="0">
          <wp:extent cx="5943600" cy="1247923"/>
          <wp:effectExtent b="0" l="0" r="0" t="0"/>
          <wp:docPr id="10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24792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7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8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9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0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12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3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4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5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6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7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21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22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4f81bd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4f81bd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240" w:before="480" w:lineRule="auto"/>
      <w:jc w:val="center"/>
    </w:pPr>
    <w:rPr>
      <w:rFonts w:ascii="Calibri" w:cs="Calibri" w:eastAsia="Calibri" w:hAnsi="Calibri"/>
      <w:b w:val="1"/>
      <w:bCs w:val="1"/>
      <w:color w:val="335b8a"/>
      <w:sz w:val="36"/>
      <w:szCs w:val="36"/>
    </w:rPr>
  </w:style>
  <w:style w:type="paragraph" w:styleId="BodyText">
    <w:name w:val="Body Text"/>
    <w:basedOn w:val="Normal"/>
    <w:link w:val="BodyTextChar"/>
    <w:qFormat w:val="1"/>
    <w:pPr>
      <w:spacing w:after="180" w:before="180"/>
    </w:pPr>
  </w:style>
  <w:style w:type="paragraph" w:styleId="FirstParagraph" w:customStyle="1">
    <w:name w:val="First Paragraph"/>
    <w:basedOn w:val="BodyText"/>
    <w:next w:val="BodyText"/>
    <w:qFormat w:val="1"/>
  </w:style>
  <w:style w:type="paragraph" w:styleId="Compact" w:customStyle="1">
    <w:name w:val="Compact"/>
    <w:basedOn w:val="BodyText"/>
    <w:qFormat w:val="1"/>
    <w:pPr>
      <w:spacing w:after="36" w:before="36"/>
    </w:pPr>
  </w:style>
  <w:style w:type="paragraph" w:styleId="Author" w:customStyle="1">
    <w:name w:val="Author"/>
    <w:next w:val="BodyText"/>
    <w:qFormat w:val="1"/>
    <w:pPr>
      <w:keepNext w:val="1"/>
      <w:keepLines w:val="1"/>
      <w:jc w:val="center"/>
    </w:pPr>
  </w:style>
  <w:style w:type="paragraph" w:styleId="Date">
    <w:name w:val="Date"/>
    <w:next w:val="BodyText"/>
    <w:qFormat w:val="1"/>
    <w:pPr>
      <w:keepNext w:val="1"/>
      <w:keepLines w:val="1"/>
      <w:jc w:val="center"/>
    </w:pPr>
  </w:style>
  <w:style w:type="paragraph" w:styleId="AbstractTitle" w:customStyle="1">
    <w:name w:val="Abstract Title"/>
    <w:basedOn w:val="Normal"/>
    <w:next w:val="Abstract"/>
    <w:qFormat w:val="1"/>
    <w:pPr>
      <w:keepNext w:val="1"/>
      <w:keepLines w:val="1"/>
      <w:spacing w:after="0" w:before="300"/>
      <w:jc w:val="center"/>
    </w:pPr>
    <w:rPr>
      <w:b w:val="1"/>
      <w:color w:val="345a8a"/>
      <w:sz w:val="20"/>
      <w:szCs w:val="20"/>
    </w:rPr>
  </w:style>
  <w:style w:type="paragraph" w:styleId="Abstract" w:customStyle="1">
    <w:name w:val="Abstract"/>
    <w:basedOn w:val="Normal"/>
    <w:next w:val="Body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 w:val="1"/>
    <w:pPr/>
    <w:rPr/>
  </w:style>
  <w:style w:type="paragraph" w:styleId="Heading7">
    <w:name w:val="Heading 7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 w:val="1"/>
    <w:qFormat w:val="1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 w:val="1"/>
    <w:qFormat w:val="1"/>
    <w:pPr>
      <w:spacing w:after="100" w:before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 w:val="1"/>
    <w:qFormat w:val="1"/>
  </w:style>
  <w:style w:type="character" w:styleId="DefaultParagraphFont" w:default="1">
    <w:name w:val="Default Paragraph Font"/>
    <w:semiHidden w:val="1"/>
    <w:unhideWhenUsed w:val="1"/>
  </w:style>
  <w:style w:type="table" w:styleId="Table" w:default="1">
    <w:name w:val="Table"/>
    <w:basedOn w:val="TableNormal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tblPr>
        <w:jc w:val="left"/>
        <w:tblInd w:w="0.0" w:type="dxa"/>
      </w:tblPr>
      <w:trPr>
        <w:jc w:val="left"/>
      </w:trPr>
      <w:tcPr>
        <w:tcBorders>
          <w:bottom w:space="0" w:sz="0"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after="120" w:before="0"/>
    </w:pPr>
    <w:rPr>
      <w:i w:val="1"/>
    </w:rPr>
  </w:style>
  <w:style w:type="paragraph" w:styleId="TableCaption" w:customStyle="1">
    <w:name w:val="Table Caption"/>
    <w:basedOn w:val="Caption"/>
    <w:pPr>
      <w:keepNext w:val="1"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 w:val="1"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 w:val="1"/>
    <w:qFormat w:val="1"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365f91" w:themeColor="accent1" w:themeShade="0000BF"/>
    </w:r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b w:val="1"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 w:val="1"/>
      <w:color w:val="008000"/>
    </w:rPr>
  </w:style>
  <w:style w:type="character" w:styleId="CommentTok" w:customStyle="1">
    <w:name w:val="CommentTok"/>
    <w:basedOn w:val="VerbatimChar"/>
    <w:rPr>
      <w:i w:val="1"/>
      <w:color w:val="60a0b0"/>
    </w:rPr>
  </w:style>
  <w:style w:type="character" w:styleId="DocumentationTok" w:customStyle="1">
    <w:name w:val="DocumentationTok"/>
    <w:basedOn w:val="VerbatimChar"/>
    <w:rPr>
      <w:i w:val="1"/>
      <w:color w:val="ba2121"/>
    </w:rPr>
  </w:style>
  <w:style w:type="character" w:styleId="AnnotationTok" w:customStyle="1">
    <w:name w:val="AnnotationTok"/>
    <w:basedOn w:val="VerbatimChar"/>
    <w:rPr>
      <w:b w:val="1"/>
      <w:i w:val="1"/>
      <w:color w:val="60a0b0"/>
    </w:rPr>
  </w:style>
  <w:style w:type="character" w:styleId="CommentVarTok" w:customStyle="1">
    <w:name w:val="CommentVarTok"/>
    <w:basedOn w:val="VerbatimChar"/>
    <w:rPr>
      <w:b w:val="1"/>
      <w:i w:val="1"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 w:val="1"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 w:val="1"/>
      <w:i w:val="1"/>
      <w:color w:val="60a0b0"/>
    </w:rPr>
  </w:style>
  <w:style w:type="character" w:styleId="WarningTok" w:customStyle="1">
    <w:name w:val="WarningTok"/>
    <w:basedOn w:val="VerbatimChar"/>
    <w:rPr>
      <w:b w:val="1"/>
      <w:i w:val="1"/>
      <w:color w:val="60a0b0"/>
    </w:rPr>
  </w:style>
  <w:style w:type="character" w:styleId="AlertTok" w:customStyle="1">
    <w:name w:val="AlertTok"/>
    <w:basedOn w:val="VerbatimChar"/>
    <w:rPr>
      <w:b w:val="1"/>
      <w:color w:val="ff0000"/>
    </w:rPr>
  </w:style>
  <w:style w:type="character" w:styleId="ErrorTok" w:customStyle="1">
    <w:name w:val="ErrorTok"/>
    <w:basedOn w:val="VerbatimChar"/>
    <w:rPr>
      <w:b w:val="1"/>
      <w:color w:val="ff0000"/>
    </w:rPr>
  </w:style>
  <w:style w:type="character" w:styleId="NormalTok" w:customStyle="1">
    <w:name w:val="NormalTok"/>
    <w:basedOn w:val="VerbatimChar"/>
    <w:rPr/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center"/>
    </w:pPr>
    <w:rPr>
      <w:rFonts w:ascii="Calibri" w:cs="Calibri" w:eastAsia="Calibri" w:hAnsi="Calibri"/>
      <w:b w:val="1"/>
      <w:bCs w:val="1"/>
      <w:color w:val="335b8a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vryN1m94kqzyVpcNFqr6K+WLQg==">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2026-10-14T14:29:35Z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